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</w:p>
    <w:p>
      <w:pPr>
        <w:spacing w:line="600" w:lineRule="auto"/>
        <w:ind w:right="-92" w:rightChars="-44" w:firstLine="642"/>
        <w:jc w:val="center"/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  <w:t>东莞市绿色建筑技术产品展示中心</w:t>
      </w:r>
    </w:p>
    <w:p>
      <w:pPr>
        <w:spacing w:line="600" w:lineRule="auto"/>
        <w:ind w:right="-92" w:rightChars="-44" w:firstLine="642"/>
        <w:jc w:val="center"/>
        <w:rPr>
          <w:rFonts w:hint="eastAsia" w:ascii="方正小标宋简体" w:hAnsi="Tahoma" w:eastAsia="方正小标宋简体" w:cs="Tahoma"/>
          <w:kern w:val="0"/>
          <w:sz w:val="15"/>
          <w:szCs w:val="15"/>
          <w:lang w:eastAsia="zh-CN"/>
        </w:rPr>
      </w:pPr>
      <w:bookmarkStart w:id="0" w:name="_GoBack"/>
      <w:r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  <w:t>参展指南</w:t>
      </w:r>
      <w:bookmarkEnd w:id="0"/>
    </w:p>
    <w:p>
      <w:pPr>
        <w:spacing w:line="48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东莞市绿色建筑技术产品展示中心是</w:t>
      </w:r>
      <w:r>
        <w:rPr>
          <w:rFonts w:hint="eastAsia" w:ascii="仿宋_GB2312" w:eastAsia="仿宋_GB2312"/>
          <w:bCs/>
          <w:sz w:val="32"/>
          <w:szCs w:val="32"/>
        </w:rPr>
        <w:t>由市住房和城乡建设局统筹指导，市墙材革新与建筑节能办公室具体负责实施，并委托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我会（东莞市绿色建筑协会）</w:t>
      </w:r>
      <w:r>
        <w:rPr>
          <w:rFonts w:hint="eastAsia" w:ascii="仿宋_GB2312" w:eastAsia="仿宋_GB2312"/>
          <w:bCs/>
          <w:sz w:val="32"/>
          <w:szCs w:val="32"/>
        </w:rPr>
        <w:t>负责运营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bCs/>
          <w:sz w:val="32"/>
          <w:szCs w:val="32"/>
        </w:rPr>
        <w:t>。展示中心总建筑面积为846平方米，展陈面积为662平方米，设有序厅、绿色建筑科普区、绿色智慧住宅体验区、绿色智慧办公体验区、绿色建筑技术产品展示区、未来与展望6个展陈专区。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展示中心于2017年6月16日正式开幕并免费向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外</w:t>
      </w:r>
      <w:r>
        <w:rPr>
          <w:rFonts w:hint="eastAsia" w:ascii="仿宋_GB2312" w:eastAsia="仿宋_GB2312"/>
          <w:bCs/>
          <w:sz w:val="32"/>
          <w:szCs w:val="32"/>
        </w:rPr>
        <w:t>开放，计划每年向社会公众开放时间不少于200日，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bCs/>
          <w:sz w:val="32"/>
          <w:szCs w:val="32"/>
        </w:rPr>
        <w:t>通过东莞建设网、微信公众号等方式，向社会普及推广墙材革新以及建筑节能、装配式建筑、绿色建筑等方面内容。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为规范参展程序和要求，请各参展单位按展示中心参展指南办理相关手续。</w:t>
      </w:r>
    </w:p>
    <w:p>
      <w:pPr>
        <w:spacing w:line="480" w:lineRule="auto"/>
        <w:ind w:firstLine="640" w:firstLineChars="200"/>
        <w:rPr>
          <w:rFonts w:hint="eastAsia" w:ascii="仿宋_GB2312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一、参展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 xml:space="preserve">程序 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1.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网上下载参展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申报表格及资料清单</w:t>
      </w:r>
      <w:r>
        <w:rPr>
          <w:rFonts w:hint="eastAsia" w:ascii="仿宋_GB2312" w:eastAsia="仿宋_GB2312"/>
          <w:b/>
          <w:bCs w:val="0"/>
          <w:sz w:val="32"/>
          <w:szCs w:val="32"/>
        </w:rPr>
        <w:t>：</w:t>
      </w:r>
      <w:r>
        <w:rPr>
          <w:rFonts w:hint="eastAsia" w:ascii="仿宋_GB2312" w:eastAsia="仿宋_GB2312"/>
          <w:bCs/>
          <w:sz w:val="32"/>
          <w:szCs w:val="32"/>
        </w:rPr>
        <w:t>申请参展的单位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登录东莞市绿色建筑协会官网：http://dglsjz.com/，下载</w:t>
      </w:r>
      <w:r>
        <w:rPr>
          <w:rFonts w:hint="eastAsia" w:ascii="仿宋_GB2312" w:eastAsia="仿宋_GB2312"/>
          <w:bCs/>
          <w:sz w:val="32"/>
          <w:szCs w:val="32"/>
        </w:rPr>
        <w:t>参展相关资料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2.填写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参展</w:t>
      </w:r>
      <w:r>
        <w:rPr>
          <w:rFonts w:hint="eastAsia" w:ascii="仿宋_GB2312" w:eastAsia="仿宋_GB2312"/>
          <w:b/>
          <w:bCs w:val="0"/>
          <w:sz w:val="32"/>
          <w:szCs w:val="32"/>
        </w:rPr>
        <w:t>资料：</w:t>
      </w:r>
      <w:r>
        <w:rPr>
          <w:rFonts w:hint="eastAsia" w:ascii="仿宋_GB2312" w:eastAsia="仿宋_GB2312"/>
          <w:bCs/>
          <w:sz w:val="32"/>
          <w:szCs w:val="32"/>
        </w:rPr>
        <w:t>申请参展的单位须填写《东莞市绿色建筑技术产品展示中心参展申请表》。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3.提交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参展</w:t>
      </w:r>
      <w:r>
        <w:rPr>
          <w:rFonts w:hint="eastAsia" w:ascii="仿宋_GB2312" w:eastAsia="仿宋_GB2312"/>
          <w:b/>
          <w:bCs w:val="0"/>
          <w:sz w:val="32"/>
          <w:szCs w:val="32"/>
        </w:rPr>
        <w:t>资料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①《东莞市绿色建筑技术产品展示中心参展申请表》加盖公章、营业执照复印件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、产品检测报告复印件和</w:t>
      </w:r>
      <w:r>
        <w:rPr>
          <w:rFonts w:hint="eastAsia" w:ascii="仿宋_GB2312" w:eastAsia="仿宋_GB2312"/>
          <w:bCs/>
          <w:sz w:val="32"/>
          <w:szCs w:val="32"/>
        </w:rPr>
        <w:t>相关资质证书复印件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复印件均需要加盖申请单位公章）。以上资料请快递</w:t>
      </w:r>
      <w:r>
        <w:rPr>
          <w:rFonts w:hint="eastAsia" w:ascii="仿宋_GB2312" w:eastAsia="仿宋_GB2312"/>
          <w:bCs/>
          <w:sz w:val="32"/>
          <w:szCs w:val="32"/>
        </w:rPr>
        <w:t>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我会</w:t>
      </w:r>
      <w:r>
        <w:rPr>
          <w:rFonts w:hint="eastAsia" w:ascii="仿宋_GB2312" w:eastAsia="仿宋_GB2312"/>
          <w:bCs/>
          <w:sz w:val="32"/>
          <w:szCs w:val="32"/>
        </w:rPr>
        <w:t>秘书处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②参展产品或技术的相片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及相关</w:t>
      </w:r>
      <w:r>
        <w:rPr>
          <w:rFonts w:hint="eastAsia" w:ascii="仿宋_GB2312" w:eastAsia="仿宋_GB2312"/>
          <w:bCs/>
          <w:sz w:val="32"/>
          <w:szCs w:val="32"/>
        </w:rPr>
        <w:t>介绍(越详细越好，方便审批和日后宣传推广)；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③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参展</w:t>
      </w:r>
      <w:r>
        <w:rPr>
          <w:rFonts w:hint="eastAsia" w:ascii="仿宋_GB2312" w:eastAsia="仿宋_GB2312"/>
          <w:bCs/>
          <w:sz w:val="32"/>
          <w:szCs w:val="32"/>
        </w:rPr>
        <w:t>单位形象照片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④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参展企业需为参展产品或展示中心提供至少一份宣传推广方案。</w:t>
      </w:r>
    </w:p>
    <w:p>
      <w:pPr>
        <w:ind w:firstLine="640" w:firstLineChars="20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②③④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项的请将资料电子档发协会指定邮箱dgba2016@126.com。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4.参展审核：</w:t>
      </w:r>
      <w:r>
        <w:rPr>
          <w:rFonts w:hint="eastAsia" w:ascii="仿宋_GB2312" w:eastAsia="仿宋_GB2312"/>
          <w:bCs/>
          <w:sz w:val="32"/>
          <w:szCs w:val="32"/>
        </w:rPr>
        <w:t>我会秘书处核实申请参展资料后，将交给展示中心会务组领导审批，审核后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在东莞市绿色建筑协会官网：http://dglsjz.com/show.html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,公布</w:t>
      </w:r>
      <w:r>
        <w:rPr>
          <w:rFonts w:hint="eastAsia" w:ascii="仿宋_GB2312" w:eastAsia="仿宋_GB2312"/>
          <w:bCs/>
          <w:sz w:val="32"/>
          <w:szCs w:val="32"/>
        </w:rPr>
        <w:t>结果，并根据申请时间、展位使用情况分配相关展位。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 w:val="0"/>
          <w:sz w:val="32"/>
          <w:szCs w:val="32"/>
        </w:rPr>
        <w:t>.参展管理：</w:t>
      </w:r>
      <w:r>
        <w:rPr>
          <w:rFonts w:hint="eastAsia" w:ascii="仿宋_GB2312" w:eastAsia="仿宋_GB2312"/>
          <w:bCs/>
          <w:sz w:val="32"/>
          <w:szCs w:val="32"/>
        </w:rPr>
        <w:t>参展单位需服从我会统一管理，接纳展位分配、参展时间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的调整</w:t>
      </w:r>
      <w:r>
        <w:rPr>
          <w:rFonts w:hint="eastAsia" w:ascii="仿宋_GB2312" w:eastAsia="仿宋_GB2312"/>
          <w:bCs/>
          <w:sz w:val="32"/>
          <w:szCs w:val="32"/>
        </w:rPr>
        <w:t>。为便于与各参展单位之间保持联络与沟通，各参展单位除固定一名领导负责外，还应设立1人具体负责与中心的日常联系，如果联络人发生变化，应及时通知我会秘书处。</w:t>
      </w: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参展范围</w:t>
      </w:r>
    </w:p>
    <w:tbl>
      <w:tblPr>
        <w:tblStyle w:val="2"/>
        <w:tblW w:w="81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2085"/>
        <w:gridCol w:w="348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819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参展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技术或产品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Ansi="Times New Roman"/>
                <w:lang w:val="en-US" w:eastAsia="zh-CN" w:bidi="ar"/>
              </w:rPr>
              <w:t>高效节能类技术与产品</w:t>
            </w:r>
          </w:p>
        </w:tc>
        <w:tc>
          <w:tcPr>
            <w:tcW w:w="20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1.1</w:t>
            </w:r>
            <w:r>
              <w:rPr>
                <w:rStyle w:val="4"/>
                <w:rFonts w:hAnsi="Times New Roman"/>
                <w:lang w:val="en-US" w:eastAsia="zh-CN" w:bidi="ar"/>
              </w:rPr>
              <w:t>外围护结构技术与产品</w:t>
            </w:r>
          </w:p>
        </w:tc>
        <w:tc>
          <w:tcPr>
            <w:tcW w:w="34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1.1.1</w:t>
            </w:r>
            <w:r>
              <w:rPr>
                <w:rStyle w:val="4"/>
                <w:rFonts w:hAnsi="Times New Roman"/>
                <w:lang w:val="en-US" w:eastAsia="zh-CN" w:bidi="ar"/>
              </w:rPr>
              <w:t>隔热保温材料（新墙材）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1.2</w:t>
            </w:r>
            <w:r>
              <w:rPr>
                <w:rStyle w:val="5"/>
                <w:rFonts w:hAnsi="Times New Roman"/>
                <w:lang w:val="en-US" w:eastAsia="zh-CN" w:bidi="ar"/>
              </w:rPr>
              <w:t>电气设施技术与产品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1.2.1</w:t>
            </w:r>
            <w:r>
              <w:rPr>
                <w:rStyle w:val="5"/>
                <w:rFonts w:hAnsi="Times New Roman"/>
                <w:lang w:val="en-US" w:eastAsia="zh-CN" w:bidi="ar"/>
              </w:rPr>
              <w:t>暖通空调系统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1.2.2</w:t>
            </w:r>
            <w:r>
              <w:rPr>
                <w:rStyle w:val="5"/>
                <w:rFonts w:hAnsi="Times New Roman"/>
                <w:lang w:val="en-US" w:eastAsia="zh-CN" w:bidi="ar"/>
              </w:rPr>
              <w:t>节能照明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1.3</w:t>
            </w:r>
            <w:r>
              <w:rPr>
                <w:rStyle w:val="5"/>
                <w:rFonts w:hAnsi="Times New Roman"/>
                <w:lang w:val="en-US" w:eastAsia="zh-CN" w:bidi="ar"/>
              </w:rPr>
              <w:t>可再生能源利用技术与产品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1.3.1</w:t>
            </w:r>
            <w:r>
              <w:rPr>
                <w:rStyle w:val="5"/>
                <w:rFonts w:hAnsi="Times New Roman"/>
                <w:lang w:val="en-US" w:eastAsia="zh-CN" w:bidi="ar"/>
              </w:rPr>
              <w:t>太阳能利用技术与产品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1.3.2</w:t>
            </w:r>
            <w:r>
              <w:rPr>
                <w:rStyle w:val="5"/>
                <w:rFonts w:hAnsi="Times New Roman"/>
                <w:lang w:val="en-US" w:eastAsia="zh-CN" w:bidi="ar"/>
              </w:rPr>
              <w:t>空气源利用技术与产品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1.4</w:t>
            </w:r>
            <w:r>
              <w:rPr>
                <w:rStyle w:val="5"/>
                <w:rFonts w:hAnsi="Times New Roman"/>
                <w:lang w:val="en-US" w:eastAsia="zh-CN" w:bidi="ar"/>
              </w:rPr>
              <w:t>水资源利用技术与产品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1.4.1</w:t>
            </w:r>
            <w:r>
              <w:rPr>
                <w:rStyle w:val="5"/>
                <w:rFonts w:hAnsi="Times New Roman"/>
                <w:lang w:val="en-US" w:eastAsia="zh-CN" w:bidi="ar"/>
              </w:rPr>
              <w:t>节水设施技术与产品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1.4.2</w:t>
            </w:r>
            <w:r>
              <w:rPr>
                <w:rStyle w:val="5"/>
                <w:rFonts w:hAnsi="Times New Roman"/>
                <w:lang w:val="en-US" w:eastAsia="zh-CN" w:bidi="ar"/>
              </w:rPr>
              <w:t>水循环利用技术与产品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1.5</w:t>
            </w:r>
            <w:r>
              <w:rPr>
                <w:rStyle w:val="5"/>
                <w:rFonts w:hAnsi="Times New Roman"/>
                <w:lang w:val="en-US" w:eastAsia="zh-CN" w:bidi="ar"/>
              </w:rPr>
              <w:t>建造施工技术与产品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1.5.1</w:t>
            </w:r>
            <w:r>
              <w:rPr>
                <w:rStyle w:val="5"/>
                <w:rFonts w:hAnsi="Times New Roman"/>
                <w:lang w:val="en-US" w:eastAsia="zh-CN" w:bidi="ar"/>
              </w:rPr>
              <w:t>绿色施工技术与产品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1.5.2</w:t>
            </w:r>
            <w:r>
              <w:rPr>
                <w:rStyle w:val="5"/>
                <w:rFonts w:hAnsi="Times New Roman"/>
                <w:lang w:val="en-US" w:eastAsia="zh-CN" w:bidi="ar"/>
              </w:rPr>
              <w:t>建筑工业化技术与产品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Ansi="Times New Roman"/>
                <w:lang w:val="en-US" w:eastAsia="zh-CN" w:bidi="ar"/>
              </w:rPr>
              <w:t>舒适健康类技术与产品</w:t>
            </w:r>
          </w:p>
        </w:tc>
        <w:tc>
          <w:tcPr>
            <w:tcW w:w="556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2.1</w:t>
            </w:r>
            <w:r>
              <w:rPr>
                <w:rStyle w:val="5"/>
                <w:rFonts w:hAnsi="Times New Roman"/>
                <w:lang w:val="en-US" w:eastAsia="zh-CN" w:bidi="ar"/>
              </w:rPr>
              <w:t>采光环境改善技术与产品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2.2</w:t>
            </w:r>
            <w:r>
              <w:rPr>
                <w:rStyle w:val="5"/>
                <w:rFonts w:hAnsi="Times New Roman"/>
                <w:lang w:val="en-US" w:eastAsia="zh-CN" w:bidi="ar"/>
              </w:rPr>
              <w:t>通风与空气质量环境改善技术与产品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2.3</w:t>
            </w:r>
            <w:r>
              <w:rPr>
                <w:rStyle w:val="5"/>
                <w:rFonts w:hAnsi="Times New Roman"/>
                <w:lang w:val="en-US" w:eastAsia="zh-CN" w:bidi="ar"/>
              </w:rPr>
              <w:t>热环境改善技术与产品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2.4</w:t>
            </w:r>
            <w:r>
              <w:rPr>
                <w:rStyle w:val="5"/>
                <w:rFonts w:hAnsi="Times New Roman"/>
                <w:lang w:val="en-US" w:eastAsia="zh-CN" w:bidi="ar"/>
              </w:rPr>
              <w:t>声环境改善技术与产品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</w:t>
            </w:r>
            <w:r>
              <w:rPr>
                <w:rStyle w:val="5"/>
                <w:rFonts w:hAnsi="Times New Roman"/>
                <w:lang w:val="en-US" w:eastAsia="zh-CN" w:bidi="ar"/>
              </w:rPr>
              <w:t>其它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Style w:val="5"/>
                <w:rFonts w:hAnsi="Times New Roman"/>
                <w:lang w:val="en-US" w:eastAsia="zh-CN" w:bidi="ar"/>
              </w:rPr>
              <w:t>智能便捷类技术与产品</w:t>
            </w:r>
          </w:p>
        </w:tc>
        <w:tc>
          <w:tcPr>
            <w:tcW w:w="556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</w:t>
            </w:r>
            <w:r>
              <w:rPr>
                <w:rStyle w:val="5"/>
                <w:rFonts w:hAnsi="Times New Roman"/>
                <w:lang w:val="en-US" w:eastAsia="zh-CN" w:bidi="ar"/>
              </w:rPr>
              <w:t>建筑能耗监测管理技术与产品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</w:t>
            </w:r>
            <w:r>
              <w:rPr>
                <w:rStyle w:val="5"/>
                <w:rFonts w:hAnsi="Times New Roman"/>
                <w:lang w:val="en-US" w:eastAsia="zh-CN" w:bidi="ar"/>
              </w:rPr>
              <w:t>建筑环境质量监测控制技术与产品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3.3.</w:t>
            </w:r>
            <w:r>
              <w:rPr>
                <w:rStyle w:val="5"/>
                <w:rFonts w:hAnsi="Times New Roman"/>
                <w:lang w:val="en-US" w:eastAsia="zh-CN" w:bidi="ar"/>
              </w:rPr>
              <w:t>建筑（楼宇）信息管理技术与产品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3.4</w:t>
            </w:r>
            <w:r>
              <w:rPr>
                <w:rStyle w:val="5"/>
                <w:rFonts w:hAnsi="Times New Roman"/>
                <w:lang w:val="en-US" w:eastAsia="zh-CN" w:bidi="ar"/>
              </w:rPr>
              <w:t>智能家居、智能办公技术与产品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spacing w:line="48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参展费用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参展免费，展位布置自费，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保持展示中心总体规划的一致性，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公共区域调整及宣传画设计制作费用由参展单位公摊。</w:t>
      </w:r>
    </w:p>
    <w:p>
      <w:pPr>
        <w:spacing w:line="480" w:lineRule="auto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五、参展监督指导单位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东莞市墙材革新与建筑节能办公室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参展咨询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联系电话：0769-83111803    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王若珊、郭永强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邮    箱：dgba2016@126.com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    址：广东省东莞市南城区城市风景街市地震局大楼1楼东莞市绿色建筑技术产品展示中心办公室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3D8A"/>
    <w:rsid w:val="70E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5">
    <w:name w:val="font11"/>
    <w:basedOn w:val="3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6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2019-04-24T01:07:00Z</dcterms:created>
  <dc:creator>东莞绿</dc:creator>
  <cp:lastModifiedBy>东莞绿</cp:lastModifiedBy>
  <dcterms:modified xsi:type="dcterms:W3CDTF">2019-04-24T01:09:17Z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